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296596" cy="22402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6596" cy="2240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4" w:lineRule="auto"/>
        <w:ind w:left="19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u w:val="single"/>
          <w:rtl w:val="0"/>
        </w:rPr>
        <w:t xml:space="preserve">NOTE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Bembo" w:cs="Bembo" w:eastAsia="Bembo" w:hAnsi="Bemb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1" w:lineRule="auto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Caratteristiche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Il contributo, consegnato in formato Word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all’interno della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piattaforma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OJS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, in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carattere Times New Roman corpo 12,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deve contenere per ogni autore o autrice l’indicazione di: nome (per esteso) / cognome/ ruolo dell’autore o autrice / istituzione di appartenenza / indirizzo di posta elettronica.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54" w:lineRule="auto"/>
        <w:ind w:left="480" w:right="188" w:hanging="284"/>
        <w:jc w:val="left"/>
        <w:rPr>
          <w:color w:val="231f20"/>
          <w:sz w:val="20"/>
          <w:szCs w:val="20"/>
          <w:u w:val="none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Il contributo deve avere in linea generale una lunghezza tra 15.000/20.000 caratteri, abstract, spazi, note e bibliografia inclusi.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Il titolo del contributo (in neretto, corpo 14) non deve contenere sottotitoli.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2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titoli dei paragrafi (in neretto, corpo 12) devono essere brevi e concisi, e numerati progressivamente, evitando (se possibile) l’uso di sottoparagrafi.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Nel testo vanno evitate le composizioni in carattere neretto, sottolineato, in minuscolo spaziato e integralmente in maiuscolo.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Il contributo deve essere inedito.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2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Il contributo deve contenere una bibliografia in chiusura e può contenere eventuali note di commento a piè di pagina.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riferimenti bibliografici interni al testo devono essere inseriti tra parentesi tonde, come da esempi riportati più avanti.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2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 bibliografia a fine contributo deve rispettare la citazione interna al testo secondo le regole riportate più avanti.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54" w:lineRule="auto"/>
        <w:ind w:left="480" w:right="16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Il contributo che ogni autore o autrice consegnerà dovrà essere definitivo; una volta consegnato, non verranno accettati cambiamenti, tagli o integrazioni fatta eccezione per le eventuali indicazioni dei referee.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" w:line="254" w:lineRule="auto"/>
        <w:ind w:left="480" w:right="16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Il curatore o curatrice del volume provvederà, se necessario, ad apportare correzioni minime. Si intende comunque che l’opera definitiva, prima della pubblicazione, verrà sottoposta a editing.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L’abstract (sia in lingua italiana sia in lingua inglese) va collocato dopo il titolo dell’articolo e prima del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 lunghezza di ciascuna versione dell’abstract (in italiano e in inglese) deve essere compresa tra i 400 e i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00 caratteri (spazi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L’abstract deve contenere il senso dell’intero lavoro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1" w:lineRule="auto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Key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Sotto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l’abstract vanno indicate 5 parole chiave in entrambe le lingue (italiano e inglese).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Virgolette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4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virgolette alte (o apici): “ ” si usano sia per le citazioni sia per enfatizzare alcune espressioni come “per così dire”, “il cosiddetto” ecc.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Nel caso in cui una citazione ne contenga un’altra, riportare la citazione interna con le virgolette semplici ‘ ’ e quella esterna con le virgolette doppie “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Omissioni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4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 segnalano con tre puntini tra parentesi quadre […].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Andranno numerate con numeri arabi progressivi.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3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 raccomanda un attento controllo della corrispondenza della numerazione delle note con i rinvii indicati a esponente nel testo, sempre con numeri arabi e senza parentesi.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0" w:line="199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Nel testo, il rimando alla nota a piè di pagina va posto all’interno della punteggiatura: testo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e non testo.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2" w:line="240" w:lineRule="auto"/>
        <w:ind w:left="480" w:right="0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Fanno eccezione i punti esclamativo e interrogativo che precedono l’esponente di nota.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Citazioni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481"/>
        </w:tabs>
        <w:spacing w:after="0" w:before="14" w:line="254" w:lineRule="auto"/>
        <w:ind w:left="479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 caso di citazioni che superino le quattro righe, si devono riportare in corpo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11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e con i margini rientrati di 0,5 rispetto al testo principale, staccate da un’interlinea.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196" w:firstLine="0"/>
        <w:rPr/>
      </w:pPr>
      <w:r w:rsidDel="00000000" w:rsidR="00000000" w:rsidRPr="00000000">
        <w:rPr>
          <w:color w:val="231f20"/>
          <w:rtl w:val="0"/>
        </w:rPr>
        <w:t xml:space="preserve">Elenco puntato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9"/>
          <w:tab w:val="left" w:leader="none" w:pos="480"/>
        </w:tabs>
        <w:spacing w:after="0" w:before="13" w:line="254" w:lineRule="auto"/>
        <w:ind w:left="480" w:right="188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Riportare l’elenco con il trattino, con rientro del punto elenco di 0,5, e rientro del testo di 0,5. Riportare il punto e virgola alla fine di ogni punto elenco e il punto alla fine dell’elenco.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8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Esempio: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.0000000000001"/>
        </w:tabs>
        <w:spacing w:after="0" w:afterAutospacing="0" w:before="12" w:line="240" w:lineRule="auto"/>
        <w:ind w:left="992.1259842519685" w:right="0" w:hanging="283.4645669291337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 capacità di collegare in trame concettuali le conoscenze acquisite nei corsi universitari;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.0000000000001"/>
        </w:tabs>
        <w:spacing w:after="0" w:afterAutospacing="0" w:before="0" w:beforeAutospacing="0" w:line="240" w:lineRule="auto"/>
        <w:ind w:left="992.1259842519685" w:right="0" w:hanging="283.4645669291337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l’individuazione di motivati punti di riferimento per la scelta dei contenuti;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0.0000000000001"/>
        </w:tabs>
        <w:spacing w:after="0" w:before="0" w:beforeAutospacing="0" w:line="240" w:lineRule="auto"/>
        <w:ind w:left="992.1259842519685" w:right="0" w:hanging="283.4645669291337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l’individuazione dei nodi portanti, della loro valenza didattica e delle relative difficoltà cognitive.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9"/>
          <w:tab w:val="left" w:leader="none" w:pos="480"/>
        </w:tabs>
        <w:spacing w:after="0" w:before="12" w:line="254" w:lineRule="auto"/>
        <w:ind w:left="480" w:right="187" w:hanging="28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Nel caso che il punto elenco abbia un ulteriore punto elenco al proprio interno, riportare il secondo punto elenco con il pallino, con rientro del punto elenco di 1,5 e rientro del testo di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8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Esempio: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</w:tabs>
        <w:spacing w:after="0" w:before="13" w:line="254" w:lineRule="auto"/>
        <w:ind w:left="992.1259842519685" w:right="187" w:hanging="283.46456692913375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possedere padronanza culturale (storico-epistemologica) della disciplina e inquadrare con cognizione i grandi temi che essa propone, cioè: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1" w:line="240" w:lineRule="auto"/>
        <w:ind w:left="1559.0551181102362" w:right="0" w:hanging="283.4645669291339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padroneggiare i concetti nelle loro articolazioni, e la struttura sintattica, semantica e concettuale della disciplina;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12" w:line="254" w:lineRule="auto"/>
        <w:ind w:left="1559.0551181102362" w:right="183" w:hanging="283.4645669291339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inquadrare e calare nel contesto le proprie conoscenze, anche integrando quelle acquisite nei corsi universitari, per cogliere la loro valenza nella formazione culturale dell’allievo.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12" w:line="254" w:lineRule="auto"/>
        <w:ind w:left="0" w:right="183" w:firstLine="0"/>
        <w:jc w:val="left"/>
        <w:rPr>
          <w:b w:val="1"/>
        </w:rPr>
      </w:pPr>
      <w:r w:rsidDel="00000000" w:rsidR="00000000" w:rsidRPr="00000000">
        <w:rPr>
          <w:b w:val="1"/>
          <w:color w:val="231f20"/>
          <w:rtl w:val="0"/>
        </w:rPr>
        <w:t xml:space="preserve">L</w:t>
      </w:r>
      <w:r w:rsidDel="00000000" w:rsidR="00000000" w:rsidRPr="00000000">
        <w:rPr>
          <w:b w:val="1"/>
          <w:color w:val="231f20"/>
          <w:rtl w:val="0"/>
        </w:rPr>
        <w:t xml:space="preserve">ineette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3" w:line="254" w:lineRule="auto"/>
        <w:ind w:left="393" w:right="155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 distinguono due casi: per unire due parole (es. spazio-tempo), si usa il trattino breve senza nessuno spazio, né prima né dopo. Per creare un inciso all’interno di una frase si usa il trattino lungo, preceduto e seguito da uno spazio (es. l’idea – sviluppata negli anni Cinquanta da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De Beauvoir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– è poi stata fatta propria da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Friedan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before="1" w:lineRule="auto"/>
        <w:ind w:left="110" w:firstLine="0"/>
        <w:jc w:val="both"/>
        <w:rPr/>
      </w:pPr>
      <w:r w:rsidDel="00000000" w:rsidR="00000000" w:rsidRPr="00000000">
        <w:rPr>
          <w:color w:val="231f20"/>
          <w:rtl w:val="0"/>
        </w:rPr>
        <w:t xml:space="preserve">Parole straniere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3" w:line="254" w:lineRule="auto"/>
        <w:ind w:left="393" w:right="156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Vanno in carattere tondo le parole straniere che sono entrate nel linguaggio corrente, come: on-line, boom, cabaret, chic, cineforum, computer, dance, film, flipper, gag, garage, horror, leader, monitor, pop, rock, routine, set, spray, star, stress, tea, thè, tic, vamp, week-end ecc. Esse vanno poste nella forma singolare.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2" w:line="240" w:lineRule="auto"/>
        <w:ind w:left="393" w:right="0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 genere vanno in carattere corsivo tutte le parole straniere.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2" w:line="254" w:lineRule="auto"/>
        <w:ind w:left="393" w:right="175" w:hanging="284"/>
        <w:jc w:val="both"/>
        <w:rPr>
          <w:rFonts w:ascii="Bembo" w:cs="Bembo" w:eastAsia="Bembo" w:hAnsi="Bemb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Vanno inoltre in carattere corsivo: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alter ego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(senza lineato breve unito),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aut-aut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(con lineato breve unito),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budget, équipe, media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(mezzi di comunicazione),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passim, revival, sex-appeal, sit-com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(entrambe con lineato breve unito),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soft.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Accenti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4" w:line="254" w:lineRule="auto"/>
        <w:ind w:left="393" w:right="175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In italiano le vocali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a, i, u,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richiedono solo l’accento grave (à, ì, ù); la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richiede l’accento acuto in finale di parola in tutti i composti di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che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(poiché, affinché, cosicché ecc.).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" w:line="254" w:lineRule="auto"/>
        <w:ind w:left="393" w:right="155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 scrivono con l’accento grave: è, cioè, caffè, tè, ahimè, piè; le parole straniere entrate nell’uso della lingua italiana (gilè, canapè, bignè) e i nomi propri di persona.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" w:line="254" w:lineRule="auto"/>
        <w:ind w:left="393" w:right="175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Si accenta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dà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(terza persona singolare del verbo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dare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 e si apostrofa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da’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(imperativo presente dello stesso verbo) per distinguerle dalla omofona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(preposizione); si apostrofa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fa’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(imperativo presente di fare) ma è un grave errore accentare tanto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fa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(terza persona singolare dello stesso verbo) quanto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fa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(avverbio o nota musicale).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" w:line="240" w:lineRule="auto"/>
        <w:ind w:left="393" w:right="0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 terza persona singolare del verbo essere, quando è maiuscola, va accentata (È) e non apostrofata (E’).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before="1" w:lineRule="auto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Parentesi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parentesi tonde si usano per isolare dal contesto una frase o una parola e per evidenziare un richiamo ad altra parte del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54" w:lineRule="auto"/>
        <w:ind w:left="393" w:right="175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parentesi quadre si usano all’interno delle tonde per evidenziare un salto o una mancanza di testo, oppure per introdurre in una citazione tra virgolette il commento dell’autore.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La punteggiatura che si riferisce al testo principale va posta fuori dalla parentesi di chiusura.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Segni di interpunzione e caratteri di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4" w:line="254" w:lineRule="auto"/>
        <w:ind w:left="393" w:right="156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segni di interpunzione (, : ; ! ?) e le parentesi che fanno seguito a una o più parole in corsivo si compongono sempre in tondo, a meno che non siano parte integrante del brano in corsivo.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periodi interi fra virgolette o fra parentesi avranno il punto fermo dopo la parentesi di chiusura.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12" w:line="254" w:lineRule="auto"/>
        <w:ind w:left="393" w:right="175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nomi dei secoli successivi al mille vanno per esteso e con iniziale maiuscola (ad es.: Settecento); con iniziale minuscola vanno invece quelli prima del mille (ad es.: settecento). I nomi dei decenni vanno per esteso e con iniziale Maiuscola (ad es.: anni Venti dell’Ottocento).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Numeri delle pagine e degli 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4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Vanno indicati per esteso (ad es.: pp. 112-146 e non 112-46; pp. 113-118 e non 113-8; 1953-1964 e non 1953-964 o 1953-64 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1953-4).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54" w:lineRule="auto"/>
        <w:ind w:left="393" w:right="176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L’ultima pagina di un volume è pari e così va citata. In un articolo la pagina finale dispari esiste, e così va citata solo qualora la successiva pari sia di un altro contesto; altrimenti va citata, quale ultima pagina, quella pari, anche se bianca.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" w:line="254" w:lineRule="auto"/>
        <w:ind w:left="393" w:right="177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cifre della numerazione romana vanno rispettivamente in maiuscoletto se la numerazione araba è in numeri maiuscoletti, in maiuscolo se la numerazione araba è in numeri maiuscoli (ad es.: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15"/>
          <w:szCs w:val="15"/>
          <w:u w:val="none"/>
          <w:shd w:fill="auto" w:val="clear"/>
          <w:vertAlign w:val="baseline"/>
          <w:rtl w:val="0"/>
        </w:rPr>
        <w:t xml:space="preserve">XXIV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, 1987; XXIV, 1987).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before="1" w:lineRule="auto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Documenti iconografici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54" w:lineRule="auto"/>
        <w:ind w:left="393" w:right="175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immagini, i grafici, i diagrammi vanno riportati in bianco e nero e con risoluzione di almeno 600 pixels. È pertanto necessario verificare che ci sia una buona definizione dei colori all’interno di una scala di grigi.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immagini vanno inserite nel corpo del testo, ma è bene anche fornirle in file a parte, in formato .jpg o .tiff o 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 le immagini sono coperte da copyright, è necessario citare la fonte.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2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Nel caso di grafici e diagrammi è bene fornire anche il file excel da cui sono stati tratti.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È comunque necessario cercare di limitare il numero di immagini e grafici presenti nel testo.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Tabelle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tabelle vanno inserite nel corpo del testo e non devono superare in larghezza i 13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spacing w:before="1" w:lineRule="auto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Didascalie di tabelle, grafici o figure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54" w:lineRule="auto"/>
        <w:ind w:left="394" w:right="175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Le immagini devono essere corredate di didascalia, numerate progressivamente e citate all’interno del testo. La redazione si riserva la facoltà di modificare tale collocazione in relazione all’impaginato.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  <w:tab w:val="left" w:leader="none" w:pos="395"/>
        </w:tabs>
        <w:spacing w:after="0" w:before="1" w:line="254" w:lineRule="auto"/>
        <w:ind w:left="394" w:right="392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Riportare l’abbreviazione Tab. per la tabella, Fig. per figura e Graf. per grafico, seguita dal numero, dai due punti e dal titolo. Esempio: (Fig.1: Il progetto di sviluppo)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ind w:left="110" w:firstLine="0"/>
        <w:jc w:val="both"/>
        <w:rPr/>
      </w:pPr>
      <w:r w:rsidDel="00000000" w:rsidR="00000000" w:rsidRPr="00000000">
        <w:rPr>
          <w:color w:val="231f20"/>
          <w:rtl w:val="0"/>
        </w:rPr>
        <w:t xml:space="preserve">Siti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14" w:line="254" w:lineRule="auto"/>
        <w:ind w:left="393" w:right="155" w:hanging="284"/>
        <w:jc w:val="both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Nel testo i siti Internet vanno citati in tondo minuscolo senza virgolette qualora si specifichi l’intero indirizzo elettronico (es.: www.libraweb.net; www.supergiornale.it). Se invece si indica solo il nome, essi vanno in corsivo alto/basso senza virgolette al pari del titolo di un’opera (es.: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Libraweb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Libraweb.net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); vanno in tondo alto/basso fra virgolette alte qualora si riferiscano a pubblicazioni elettroniche periodiche (es.: “Supergiornale”; “Supergiornale.it”).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before="1" w:lineRule="auto"/>
        <w:ind w:left="110" w:firstLine="0"/>
        <w:rPr/>
      </w:pPr>
      <w:r w:rsidDel="00000000" w:rsidR="00000000" w:rsidRPr="00000000">
        <w:rPr>
          <w:color w:val="231f20"/>
          <w:rtl w:val="0"/>
        </w:rPr>
        <w:t xml:space="preserve">Riferimenti normativi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40" w:lineRule="auto"/>
        <w:ind w:left="39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Riportare i riferimenti per esteso, indicando il tipo di normativa, la data e il numero, seguito da trattino e titolo in stile tondo.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40" w:lineRule="auto"/>
        <w:ind w:left="0" w:right="0" w:firstLine="0"/>
        <w:jc w:val="left"/>
        <w:rPr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  <w:tab w:val="left" w:leader="none" w:pos="394"/>
        </w:tabs>
        <w:spacing w:after="0" w:before="13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sempio: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2.00000000000003" w:lineRule="auto"/>
        <w:ind w:left="423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D.P.R. 31 luglio 1996, n. 470 - Regolamento concernente l’ordinamento didattico della Scuola di Specializzazione per la formazione degli insegnanti di Scuola Secondaria.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u w:val="single"/>
          <w:rtl w:val="0"/>
        </w:rPr>
        <w:t xml:space="preserve">RIFERIMENTI BIBLIOGRAFICI nel corpo del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  <w:tab w:val="left" w:leader="none" w:pos="424"/>
        </w:tabs>
        <w:spacing w:after="0" w:before="0" w:line="252.00000000000003" w:lineRule="auto"/>
        <w:ind w:left="423" w:right="119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Il cognome di ogni autore o autrice citato va posto in parentesi tonda, seguito da una virgola, dall’anno di edizione, seguito da una virgola e dall’eventuale indicazione della/e pagina/e.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"/>
          <w:tab w:val="left" w:leader="none" w:pos="424"/>
        </w:tabs>
        <w:spacing w:after="0" w:before="1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vertAlign w:val="baseline"/>
          <w:rtl w:val="0"/>
        </w:rPr>
        <w:t xml:space="preserve">Usare il punto e virgola tra autori e autrici di diverse opere.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spacing w:before="10" w:lineRule="auto"/>
        <w:ind w:firstLine="140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spacing w:before="10" w:lineRule="auto"/>
        <w:ind w:firstLine="140"/>
        <w:rPr/>
      </w:pPr>
      <w:r w:rsidDel="00000000" w:rsidR="00000000" w:rsidRPr="00000000">
        <w:rPr>
          <w:color w:val="231f20"/>
          <w:rtl w:val="0"/>
        </w:rPr>
        <w:t xml:space="preserve">Esempi (relativi ai riferimenti bibliografici)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4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Se i nomi degli autori NON sono contenuti nel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4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… viene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definita interculturale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Pinto Minerva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2002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passim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spacing w:before="1" w:lineRule="auto"/>
        <w:ind w:firstLine="140"/>
        <w:rPr/>
      </w:pPr>
      <w:r w:rsidDel="00000000" w:rsidR="00000000" w:rsidRPr="00000000">
        <w:rPr>
          <w:color w:val="231f20"/>
          <w:rtl w:val="0"/>
        </w:rPr>
        <w:t xml:space="preserve">Se i nomi degli autori sono contenuti nel testo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4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…è quanto afferma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Ulivieri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2007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vertAlign w:val="baseline"/>
          <w:rtl w:val="0"/>
        </w:rPr>
        <w:t xml:space="preserve">p.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spacing w:before="1" w:lineRule="auto"/>
        <w:ind w:firstLine="140"/>
        <w:rPr/>
      </w:pPr>
      <w:r w:rsidDel="00000000" w:rsidR="00000000" w:rsidRPr="00000000">
        <w:rPr>
          <w:color w:val="231f20"/>
          <w:rtl w:val="0"/>
        </w:rPr>
        <w:t xml:space="preserve">Per autori con lo stesso cognome inserire l’iniziale del 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4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(E. Johnson, 2001, p.184; L. Johnson, 1998, pp. 1-2)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ind w:firstLine="140"/>
        <w:rPr/>
      </w:pPr>
      <w:r w:rsidDel="00000000" w:rsidR="00000000" w:rsidRPr="00000000">
        <w:rPr>
          <w:color w:val="231f20"/>
          <w:rtl w:val="0"/>
        </w:rPr>
        <w:t xml:space="preserve">Per i testi dello stesso autore pubblicati nello stesso anno usare l’ordine alfabetico (a, b,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4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… la ricerca di Berndt (1981a) illustra…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spacing w:before="1" w:lineRule="auto"/>
        <w:ind w:firstLine="140"/>
        <w:rPr/>
      </w:pPr>
      <w:r w:rsidDel="00000000" w:rsidR="00000000" w:rsidRPr="00000000">
        <w:rPr>
          <w:color w:val="231f20"/>
          <w:rtl w:val="0"/>
        </w:rPr>
        <w:t xml:space="preserve">Per riferimenti in note esplicative a piè di pagina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4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Cfr., tra gli altri, Platone (1995, pp. 27-29), Cicerone (2010,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passim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 e Seneca (2009, pp. 439-441).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4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… incontri che avvengono anche a scuola. Cfr.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Ariès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(19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68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Frabboni, Pinto Minerva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(2014)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14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u w:val="single"/>
          <w:rtl w:val="0"/>
        </w:rPr>
        <w:t xml:space="preserve">BIBLIOGRAFIA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Bembo" w:cs="Bembo" w:eastAsia="Bembo" w:hAnsi="Bemb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 riferimenti della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ibliografia devono essere completi di tutti gli elementi, nell’ordine che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0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Cognome e Nome (puntato) dell’Autore o Autrice in tondo (se gli autori o le autrici sono due o tre andranno separati da una virgola);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0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data di pubblicazione posta tra parentesi tonde (1987) seguita dal punto;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numero dell’edizione, quando non è la prima, con numero arabo in esponente all’anno citato (es.: 1932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11" w:line="240" w:lineRule="auto"/>
        <w:ind w:left="479" w:right="0" w:hanging="34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titolo dell’opera in corsivo;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0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eventuale indicazione del volume con cifra romana;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0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luogo di pubblicazione (seguito dai due punti);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1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nome dell’editore e, per le edizioni antiche, del tipografo;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0" w:line="240" w:lineRule="auto"/>
        <w:ind w:left="423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nel caso di traduzioni, la data dell’edizione originale posta tra parentesi tonde.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spacing w:before="37" w:line="416" w:lineRule="auto"/>
        <w:ind w:right="5123" w:firstLine="140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spacing w:before="37" w:line="416" w:lineRule="auto"/>
        <w:ind w:right="5123" w:firstLine="140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Esempi </w:t>
      </w:r>
    </w:p>
    <w:p w:rsidR="00000000" w:rsidDel="00000000" w:rsidP="00000000" w:rsidRDefault="00000000" w:rsidRPr="00000000" w14:paraId="0000008F">
      <w:pPr>
        <w:pStyle w:val="Heading1"/>
        <w:spacing w:before="37" w:line="416" w:lineRule="auto"/>
        <w:ind w:right="5123" w:firstLine="140"/>
        <w:rPr/>
      </w:pPr>
      <w:r w:rsidDel="00000000" w:rsidR="00000000" w:rsidRPr="00000000">
        <w:rPr>
          <w:color w:val="231f20"/>
          <w:rtl w:val="0"/>
        </w:rPr>
        <w:t xml:space="preserve">Un solo autore o autrice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171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Ulivieri S. (1995).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Educare al femminile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Pisa: 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1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Nussbaum M.C. (2006</w:t>
      </w:r>
      <w:r w:rsidDel="00000000" w:rsidR="00000000" w:rsidRPr="00000000">
        <w:rPr>
          <w:color w:val="231f2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Coltivare l’umanità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 I classici, il multiculturalismo, l’educazione contemporanea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Roma: Carocci.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10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Butler J. (2023).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Questione di genere. Il femminismo e la sovversione dell’identità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Roma-Bari: Laterza (Edizione originale pubblicata 1990).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ind w:firstLine="140"/>
        <w:rPr/>
      </w:pPr>
      <w:r w:rsidDel="00000000" w:rsidR="00000000" w:rsidRPr="00000000">
        <w:rPr>
          <w:color w:val="231f20"/>
          <w:rtl w:val="0"/>
        </w:rPr>
        <w:t xml:space="preserve">Due o tre autori/autrici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2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Dato D., De Serio B., Lopez A.G. (2007).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Questioni di “potere”. Strategie di empowerment per l’educazione al cambiamento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Milano: FrancoAngeli.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ind w:firstLine="140"/>
        <w:rPr/>
      </w:pPr>
      <w:r w:rsidDel="00000000" w:rsidR="00000000" w:rsidRPr="00000000">
        <w:rPr>
          <w:color w:val="231f20"/>
          <w:rtl w:val="0"/>
        </w:rPr>
        <w:t xml:space="preserve">Più di tre autori/autrici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2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Demetrio D.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et alii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(2001).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Con voce diversa. Pedagogia e differenza sessuale e di genere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Milano: Guerini.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ind w:firstLine="140"/>
        <w:rPr/>
      </w:pPr>
      <w:r w:rsidDel="00000000" w:rsidR="00000000" w:rsidRPr="00000000">
        <w:rPr>
          <w:color w:val="231f20"/>
          <w:rtl w:val="0"/>
        </w:rPr>
        <w:t xml:space="preserve">Curatele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1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Seveso G. (a cura di) (2017).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Corpi molteplici. Differenze ed educazione nella realtà di oggi e nella storia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Milano: Guerini.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11" w:line="252.00000000000003" w:lineRule="auto"/>
        <w:ind w:left="140" w:right="244" w:hanging="0.9999999999999964"/>
        <w:rPr>
          <w:color w:val="231f20"/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Cagnolati A., Pinto Minerva F., Ulivieri S. (a cura di) (2013).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Le frontiere del corpo. Mutamenti e metamorfosi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 Pisa: ETS. </w:t>
      </w:r>
    </w:p>
    <w:p w:rsidR="00000000" w:rsidDel="00000000" w:rsidP="00000000" w:rsidRDefault="00000000" w:rsidRPr="00000000" w14:paraId="0000009D">
      <w:pPr>
        <w:spacing w:before="11" w:line="252.00000000000003" w:lineRule="auto"/>
        <w:ind w:left="140" w:right="244" w:hanging="0.9999999999999964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Duncan G.J., Brooks-Gunn J. (Eds.) (1997).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Consequences of growing up poor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New York: Russell Sage Foundation.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spacing w:before="1" w:lineRule="auto"/>
        <w:ind w:firstLine="140"/>
        <w:rPr/>
      </w:pPr>
      <w:r w:rsidDel="00000000" w:rsidR="00000000" w:rsidRPr="00000000">
        <w:rPr>
          <w:color w:val="231f20"/>
          <w:rtl w:val="0"/>
        </w:rPr>
        <w:t xml:space="preserve">Multivolumi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11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Wiener P. (Ed.) (1973).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Dictionary of the history of ideas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(Voll. 1-4). New York: Scribner’s.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ind w:firstLine="140"/>
        <w:rPr/>
      </w:pPr>
      <w:r w:rsidDel="00000000" w:rsidR="00000000" w:rsidRPr="00000000">
        <w:rPr>
          <w:color w:val="231f20"/>
          <w:rtl w:val="0"/>
        </w:rPr>
        <w:t xml:space="preserve">Introduzioni e Prefazioni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12" w:lineRule="auto"/>
        <w:ind w:left="140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Santelli Beccegato L. (2001). Prefazione. In D. Demetrio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et alii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(2001).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Con voce diversa. Pedagogia e differenza sessuale e di genere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 (9-11)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Milano: Guerini.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ind w:left="139" w:firstLine="0"/>
        <w:rPr/>
      </w:pPr>
      <w:r w:rsidDel="00000000" w:rsidR="00000000" w:rsidRPr="00000000">
        <w:rPr>
          <w:color w:val="231f20"/>
          <w:rtl w:val="0"/>
        </w:rPr>
        <w:t xml:space="preserve">Articoli o saggi contenuti in volumi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12" w:line="252.00000000000003" w:lineRule="auto"/>
        <w:ind w:left="423" w:hanging="284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Becchi E. (2007). Allevare, curare, istruire, educare nel segno della donna: da casa a scuola. In S. Ulivieri (a cura di)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Educazione al femminile. Una storia da scoprire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(pp.181-197). Milano: Guerini.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12" w:line="252.00000000000003" w:lineRule="auto"/>
        <w:ind w:left="423" w:hanging="284"/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Riva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.G. (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2006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Il teatro come dispositivo pedagogico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In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Covato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 (a cura di).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Metamorfosi dell’identità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(pp. 115-140).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Milano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Guerini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spacing w:before="1" w:lineRule="auto"/>
        <w:ind w:left="154" w:firstLine="0"/>
        <w:rPr/>
      </w:pPr>
      <w:r w:rsidDel="00000000" w:rsidR="00000000" w:rsidRPr="00000000">
        <w:rPr>
          <w:color w:val="231f20"/>
          <w:rtl w:val="0"/>
        </w:rPr>
        <w:t xml:space="preserve">Articoli contenuti in riviste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154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Frauenfelder E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(20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La “scuola di Firenze” e l’album di famiglia della pedagogia italiana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Studi sulla Formazione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, pp.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49-53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13" w:line="254" w:lineRule="auto"/>
        <w:ind w:left="437" w:hanging="284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Coltheart M.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et alii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(1993). Models of reading aloud: dual-route and parallel-distributedprocessing approaches.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Psychological Review, 100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, pp. 589-608.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" w:lineRule="auto"/>
        <w:ind w:left="154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Smyth A.M., Parker A.L., Pease D.L. (2002). A study of enjoyment of peas.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Journal of Abnormal Eating, 8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, pp. 120-125.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ind w:left="154" w:firstLine="0"/>
        <w:rPr/>
      </w:pPr>
      <w:r w:rsidDel="00000000" w:rsidR="00000000" w:rsidRPr="00000000">
        <w:rPr>
          <w:color w:val="231f20"/>
          <w:rtl w:val="0"/>
        </w:rPr>
        <w:t xml:space="preserve">Altri riferimenti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14" w:line="254" w:lineRule="auto"/>
        <w:ind w:left="154" w:firstLine="0"/>
        <w:rPr>
          <w:color w:val="231f20"/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Bergmann P.G. (1993). Relativity. In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The new encyclopedia britannica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(Vol. 26, pp. 501-508). Chicago: Encyclopedia Britannica. </w:t>
      </w:r>
    </w:p>
    <w:p w:rsidR="00000000" w:rsidDel="00000000" w:rsidP="00000000" w:rsidRDefault="00000000" w:rsidRPr="00000000" w14:paraId="000000B0">
      <w:pPr>
        <w:spacing w:before="14" w:line="254" w:lineRule="auto"/>
        <w:ind w:left="154" w:firstLine="0"/>
        <w:rPr/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Yoshida Y. (2001). Essays in urban transportation (Tesi di Dottorato, Boston, College, 2001).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Dissertation Abstracts International, 62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, </w:t>
      </w:r>
      <w:r w:rsidDel="00000000" w:rsidR="00000000" w:rsidRPr="00000000">
        <w:rPr>
          <w:color w:val="231f20"/>
          <w:rtl w:val="0"/>
        </w:rPr>
        <w:t xml:space="preserve">7741A.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12" w:line="254" w:lineRule="auto"/>
        <w:ind w:left="437" w:hanging="284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National Institute of Mental Health. (1990).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Clinical training in serious mental illness 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(DHHS Pubblicazione ADM 90-1679). Washington, Government Printing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ind w:left="154" w:firstLine="0"/>
        <w:rPr/>
      </w:pPr>
      <w:r w:rsidDel="00000000" w:rsidR="00000000" w:rsidRPr="00000000">
        <w:rPr>
          <w:color w:val="231f20"/>
          <w:rtl w:val="0"/>
        </w:rPr>
        <w:t xml:space="preserve">Conferenze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14" w:line="254" w:lineRule="auto"/>
        <w:ind w:left="437" w:hanging="284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Schnase J.L., Cunnius E.L. (Eds.) (1995). Proceedings from CSCL ‘95: </w:t>
      </w:r>
      <w:r w:rsidDel="00000000" w:rsidR="00000000" w:rsidRPr="00000000">
        <w:rPr>
          <w:i w:val="1"/>
          <w:color w:val="231f20"/>
          <w:sz w:val="20"/>
          <w:szCs w:val="20"/>
          <w:rtl w:val="0"/>
        </w:rPr>
        <w:t xml:space="preserve">The First International Conference on ComputerSupport for Col- laborative Learning</w:t>
      </w:r>
      <w:r w:rsidDel="00000000" w:rsidR="00000000" w:rsidRPr="00000000">
        <w:rPr>
          <w:color w:val="231f20"/>
          <w:sz w:val="20"/>
          <w:szCs w:val="20"/>
          <w:rtl w:val="0"/>
        </w:rPr>
        <w:t xml:space="preserve">. Mahwah: Erlbaum.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ind w:left="154" w:firstLine="0"/>
        <w:rPr/>
      </w:pPr>
      <w:r w:rsidDel="00000000" w:rsidR="00000000" w:rsidRPr="00000000">
        <w:rPr>
          <w:color w:val="231f20"/>
          <w:rtl w:val="0"/>
        </w:rPr>
        <w:t xml:space="preserve">Pubblicazioni Web o articoli da un periodico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54" w:lineRule="auto"/>
        <w:ind w:left="437" w:right="187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&lt;</w:t>
      </w:r>
      <w:hyperlink r:id="rId8">
        <w:r w:rsidDel="00000000" w:rsidR="00000000" w:rsidRPr="00000000">
          <w:rPr>
            <w:rFonts w:ascii="Bembo" w:cs="Bembo" w:eastAsia="Bembo" w:hAnsi="Bembo"/>
            <w:b w:val="0"/>
            <w:i w:val="0"/>
            <w:smallCaps w:val="0"/>
            <w:strike w:val="0"/>
            <w:color w:val="231f2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http://www.repubblica.it/salute/interattivi/2010/11/23/news/anziani_pi_in_salute_ma_pi_soli-9408532/ </w:t>
        </w:r>
      </w:hyperlink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&gt; (ultima consultazione: 11/12/2010).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437" w:right="0" w:hanging="284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Caocci D., Finelli M. (1999). Il dibattito internazionale. </w:t>
      </w:r>
      <w:r w:rsidDel="00000000" w:rsidR="00000000" w:rsidRPr="00000000">
        <w:rPr>
          <w:rFonts w:ascii="Bembo" w:cs="Bembo" w:eastAsia="Bembo" w:hAnsi="Bembo"/>
          <w:b w:val="0"/>
          <w:i w:val="1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Pianeta Infanzia. Questioni e documenti, 7, </w:t>
      </w: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pp. 24-42. In &lt;http:/www.mi- nori.it/pubblicazioni/quaderni/indice_quaderni.html&gt; (ultima consultazione: 30/01/2005).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0"/>
          <w:tab w:val="left" w:leader="none" w:pos="1591"/>
          <w:tab w:val="left" w:leader="none" w:pos="2501"/>
          <w:tab w:val="left" w:leader="none" w:pos="3307"/>
          <w:tab w:val="left" w:leader="none" w:pos="3947"/>
          <w:tab w:val="left" w:leader="none" w:pos="4454"/>
          <w:tab w:val="left" w:leader="none" w:pos="5257"/>
          <w:tab w:val="left" w:leader="none" w:pos="6200"/>
          <w:tab w:val="left" w:leader="none" w:pos="6917"/>
          <w:tab w:val="left" w:leader="none" w:pos="7526"/>
          <w:tab w:val="left" w:leader="none" w:pos="8593"/>
          <w:tab w:val="left" w:leader="none" w:pos="9210"/>
          <w:tab w:val="left" w:leader="none" w:pos="10142"/>
        </w:tabs>
        <w:spacing w:after="0" w:before="1" w:line="240" w:lineRule="auto"/>
        <w:ind w:left="154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Roma</w:t>
        <w:tab/>
        <w:t xml:space="preserve">G.</w:t>
        <w:tab/>
        <w:t xml:space="preserve">(2010).</w:t>
        <w:tab/>
        <w:t xml:space="preserve">Terza</w:t>
        <w:tab/>
        <w:t xml:space="preserve">età,</w:t>
        <w:tab/>
        <w:t xml:space="preserve">la</w:t>
        <w:tab/>
        <w:t xml:space="preserve">realtà</w:t>
        <w:tab/>
        <w:t xml:space="preserve">italiana</w:t>
        <w:tab/>
        <w:t xml:space="preserve">letta</w:t>
        <w:tab/>
        <w:t xml:space="preserve">dal</w:t>
        <w:tab/>
        <w:t xml:space="preserve">direttore</w:t>
        <w:tab/>
        <w:t xml:space="preserve">del</w:t>
        <w:tab/>
        <w:t xml:space="preserve">Censis.</w:t>
        <w:tab/>
        <w:t xml:space="preserve">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54" w:lineRule="auto"/>
        <w:ind w:left="437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&lt;</w:t>
      </w:r>
      <w:hyperlink r:id="rId9">
        <w:r w:rsidDel="00000000" w:rsidR="00000000" w:rsidRPr="00000000">
          <w:rPr>
            <w:rFonts w:ascii="Bembo" w:cs="Bembo" w:eastAsia="Bembo" w:hAnsi="Bembo"/>
            <w:b w:val="0"/>
            <w:i w:val="0"/>
            <w:smallCaps w:val="0"/>
            <w:strike w:val="0"/>
            <w:color w:val="231f2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http://www.repubblica.it/salute/2010/11/23/news/terza_et_la_realt_italiana_vista_dal_censis-9409097/</w:t>
        </w:r>
      </w:hyperlink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&gt; (ultima consulta- zione: 11/12/2010).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ind w:left="154" w:firstLine="0"/>
        <w:rPr/>
      </w:pPr>
      <w:r w:rsidDel="00000000" w:rsidR="00000000" w:rsidRPr="00000000">
        <w:rPr>
          <w:color w:val="231f20"/>
          <w:rtl w:val="0"/>
        </w:rPr>
        <w:t xml:space="preserve">Riferimenti normativi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54" w:lineRule="auto"/>
        <w:ind w:left="154" w:right="186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mbo" w:cs="Bembo" w:eastAsia="Bembo" w:hAnsi="Bembo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D.P.R. 31 luglio 1996, n. 470 - Regolamento concernente l’ordinamento didattico della Scuola di Specializzazione per la formazione degli insegnanti di Scuola Secondaria.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280" w:top="940" w:left="740" w:right="6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Bembo" w:cs="Bembo" w:eastAsia="Bembo" w:hAnsi="Bembo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1" w:lineRule="auto"/>
        <w:ind w:left="196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color w:val="231f20"/>
          <w:sz w:val="16"/>
          <w:szCs w:val="16"/>
          <w:rtl w:val="0"/>
        </w:rPr>
        <w:t xml:space="preserve">ABBREVIAZIONI (alcune)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a. = annata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a.a. = anno accademico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62" w:line="333" w:lineRule="auto"/>
        <w:ind w:left="196" w:right="1818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a.C. = avanti Cristo ad es. = ad esempio </w:t>
      </w: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ad v.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= </w:t>
      </w: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ad vocem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(c.vo) anast. = anastatico app. = appendice art., artt. = articolo, -i autogr. = autografo,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2" w:line="333" w:lineRule="auto"/>
        <w:ind w:left="196" w:right="1724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cap., capp. = capitolo, -i cfr. =  confronta cit., citt. = citato, -i cl. =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1" w:line="333" w:lineRule="auto"/>
        <w:ind w:left="366" w:hanging="171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cm, m, km, gr, kg = centimetro, ecc. (senza punto basso)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1" w:line="333" w:lineRule="auto"/>
        <w:ind w:left="196" w:right="1744" w:hanging="1.0000000000000142"/>
        <w:jc w:val="both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cod., codd. = codice, -i col., coll. = colonna, -e cpv. = capoverso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1" w:lineRule="auto"/>
        <w:ind w:left="196" w:firstLine="0"/>
        <w:jc w:val="both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c.vo = corsivo (tip.)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61" w:line="333" w:lineRule="auto"/>
        <w:ind w:left="196" w:right="1784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d.C. = dopo Cristo ecc. =  eccetera ed., edd. = edizione, -i es., ess. = esempio,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2" w:line="333" w:lineRule="auto"/>
        <w:ind w:left="196" w:right="1219" w:firstLine="0"/>
        <w:rPr>
          <w:sz w:val="16"/>
          <w:szCs w:val="16"/>
        </w:rPr>
      </w:pP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et alii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= </w:t>
      </w: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et alii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(per esteso; c.vo) f., ff. = foglio,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33" w:lineRule="auto"/>
        <w:ind w:left="196" w:right="1829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f.t. = fuori testo facs. = facsimile fasc. = fascicolo Fig., Figg. = figura, -e lett. = lettera, -e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1" w:lineRule="auto"/>
        <w:rPr>
          <w:sz w:val="25"/>
          <w:szCs w:val="25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m.lo = maiuscolo (tip.)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62" w:line="333" w:lineRule="auto"/>
        <w:ind w:left="196" w:right="150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m.lo/m.tto = maiuscolo/maiuscoletto (tip.) m.tto = maiuscoletto (tip.)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1" w:line="333" w:lineRule="auto"/>
        <w:ind w:left="196" w:right="1555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misc. = miscellanea ms., mss. = manoscritto,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33" w:lineRule="auto"/>
        <w:ind w:left="196" w:right="1750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n.n. = non numerato n., nn. = numero,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1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N.d.A. = nota dell’autore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N.d.C. = nota del curatore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N.d.E. = nota dell’editore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N.d.R. = nota del redattore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62" w:line="333" w:lineRule="auto"/>
        <w:ind w:left="196" w:right="1215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N.d.T. = nota del traduttore nota = nota (per esteso)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n.s. = nuova serie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62" w:line="333" w:lineRule="auto"/>
        <w:ind w:left="196" w:right="1932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n.t. = nel testo op., opp. = opera, -e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1" w:line="333" w:lineRule="auto"/>
        <w:ind w:left="366" w:hanging="170"/>
        <w:rPr>
          <w:sz w:val="16"/>
          <w:szCs w:val="16"/>
        </w:rPr>
      </w:pP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op. cit., opp. citt.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= opera citata, opere citate (c.vo per- ché sostituiscono anche il titolo)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33" w:lineRule="auto"/>
        <w:ind w:left="196" w:right="1304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p., pp. =  pagina, -e par., parr., §, §§ = paragrafo,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before="1" w:line="333" w:lineRule="auto"/>
        <w:ind w:left="366" w:hanging="171"/>
        <w:rPr>
          <w:sz w:val="16"/>
          <w:szCs w:val="16"/>
        </w:rPr>
      </w:pP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passim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= </w:t>
      </w: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passim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(la citazione ricorre frequente nel- l’opera citata; c.vo)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33" w:lineRule="auto"/>
        <w:ind w:left="366" w:hanging="171"/>
        <w:rPr>
          <w:sz w:val="16"/>
          <w:szCs w:val="16"/>
        </w:rPr>
      </w:pP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r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= </w:t>
      </w: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recto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(per la numerazione delle carte dei mano- scritti; c.vo, senza punto basso)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1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rist. = ristampa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 = serie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s.a. = senza anno di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61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s.d. = senza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s.e. = senza indicazione di editore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s.l. = senza luogo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62" w:lineRule="auto"/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s.l.m. = sul livello del 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1" w:lineRule="auto"/>
        <w:rPr>
          <w:sz w:val="25"/>
          <w:szCs w:val="25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s.n.t. = senza note tipografiche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62" w:line="333" w:lineRule="auto"/>
        <w:ind w:left="196" w:right="980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s.t. = senza indicazione di tipografo sec., secc. = secolo,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1" w:line="333" w:lineRule="auto"/>
        <w:ind w:left="196" w:right="2051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sez. =  sezione sg., sgg. = seguente, -i suppl. = supplemento </w:t>
      </w:r>
      <w:r w:rsidDel="00000000" w:rsidR="00000000" w:rsidRPr="00000000">
        <w:rPr>
          <w:i w:val="1"/>
          <w:color w:val="231f20"/>
          <w:sz w:val="16"/>
          <w:szCs w:val="16"/>
          <w:rtl w:val="0"/>
        </w:rPr>
        <w:t xml:space="preserve">supra </w:t>
      </w:r>
      <w:r w:rsidDel="00000000" w:rsidR="00000000" w:rsidRPr="00000000">
        <w:rPr>
          <w:color w:val="231f20"/>
          <w:sz w:val="16"/>
          <w:szCs w:val="16"/>
          <w:rtl w:val="0"/>
        </w:rPr>
        <w:t xml:space="preserve">= sopra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1" w:line="333" w:lineRule="auto"/>
        <w:ind w:left="196" w:right="2161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t., tt. = tomo, -i t.do = tondo (tip.)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333" w:lineRule="auto"/>
        <w:ind w:left="196" w:right="1974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Tab.,Tabb. = tabella, -e Tav.,Tavv. = tavola, -e tip. = tipografico tit., titt. = titolo, -i trad. = traduzione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2" w:line="333" w:lineRule="auto"/>
        <w:ind w:left="366" w:hanging="171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v = verso (per la numerazione delle carte dei ma- noscritti; c.vo, senza punto basso)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196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v., vv. = verso, -i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62" w:line="333" w:lineRule="auto"/>
        <w:ind w:left="196" w:right="1724" w:firstLine="0"/>
        <w:rPr>
          <w:sz w:val="16"/>
          <w:szCs w:val="16"/>
        </w:rPr>
      </w:pPr>
      <w:r w:rsidDel="00000000" w:rsidR="00000000" w:rsidRPr="00000000">
        <w:rPr>
          <w:color w:val="231f20"/>
          <w:sz w:val="16"/>
          <w:szCs w:val="16"/>
          <w:rtl w:val="0"/>
        </w:rPr>
        <w:t xml:space="preserve">vedi = vedi (per esteso) vol., voll. = volume, -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940" w:left="740" w:right="660" w:header="720" w:footer="720"/>
      <w:cols w:equalWidth="0" w:num="3">
        <w:col w:space="40" w:w="3476.666666666667"/>
        <w:col w:space="40" w:w="3476.666666666667"/>
        <w:col w:space="0" w:w="3476.66666666666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embo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3" w:hanging="284"/>
      </w:pPr>
      <w:rPr>
        <w:rFonts w:ascii="Bembo" w:cs="Bembo" w:eastAsia="Bembo" w:hAnsi="Bembo"/>
        <w:b w:val="0"/>
        <w:i w:val="0"/>
        <w:color w:val="231f20"/>
        <w:sz w:val="20"/>
        <w:szCs w:val="20"/>
      </w:rPr>
    </w:lvl>
    <w:lvl w:ilvl="1">
      <w:start w:val="0"/>
      <w:numFmt w:val="bullet"/>
      <w:lvlText w:val="•"/>
      <w:lvlJc w:val="left"/>
      <w:pPr>
        <w:ind w:left="1428" w:hanging="284"/>
      </w:pPr>
      <w:rPr/>
    </w:lvl>
    <w:lvl w:ilvl="2">
      <w:start w:val="0"/>
      <w:numFmt w:val="bullet"/>
      <w:lvlText w:val="•"/>
      <w:lvlJc w:val="left"/>
      <w:pPr>
        <w:ind w:left="2437" w:hanging="284"/>
      </w:pPr>
      <w:rPr/>
    </w:lvl>
    <w:lvl w:ilvl="3">
      <w:start w:val="0"/>
      <w:numFmt w:val="bullet"/>
      <w:lvlText w:val="•"/>
      <w:lvlJc w:val="left"/>
      <w:pPr>
        <w:ind w:left="3445" w:hanging="284"/>
      </w:pPr>
      <w:rPr/>
    </w:lvl>
    <w:lvl w:ilvl="4">
      <w:start w:val="0"/>
      <w:numFmt w:val="bullet"/>
      <w:lvlText w:val="•"/>
      <w:lvlJc w:val="left"/>
      <w:pPr>
        <w:ind w:left="4454" w:hanging="284"/>
      </w:pPr>
      <w:rPr/>
    </w:lvl>
    <w:lvl w:ilvl="5">
      <w:start w:val="0"/>
      <w:numFmt w:val="bullet"/>
      <w:lvlText w:val="•"/>
      <w:lvlJc w:val="left"/>
      <w:pPr>
        <w:ind w:left="5462" w:hanging="283.9999999999991"/>
      </w:pPr>
      <w:rPr/>
    </w:lvl>
    <w:lvl w:ilvl="6">
      <w:start w:val="0"/>
      <w:numFmt w:val="bullet"/>
      <w:lvlText w:val="•"/>
      <w:lvlJc w:val="left"/>
      <w:pPr>
        <w:ind w:left="6471" w:hanging="284"/>
      </w:pPr>
      <w:rPr/>
    </w:lvl>
    <w:lvl w:ilvl="7">
      <w:start w:val="0"/>
      <w:numFmt w:val="bullet"/>
      <w:lvlText w:val="•"/>
      <w:lvlJc w:val="left"/>
      <w:pPr>
        <w:ind w:left="7479" w:hanging="284"/>
      </w:pPr>
      <w:rPr/>
    </w:lvl>
    <w:lvl w:ilvl="8">
      <w:start w:val="0"/>
      <w:numFmt w:val="bullet"/>
      <w:lvlText w:val="•"/>
      <w:lvlJc w:val="left"/>
      <w:pPr>
        <w:ind w:left="8488" w:hanging="284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393" w:hanging="284"/>
      </w:pPr>
      <w:rPr>
        <w:rFonts w:ascii="Bembo" w:cs="Bembo" w:eastAsia="Bembo" w:hAnsi="Bembo"/>
        <w:b w:val="0"/>
        <w:i w:val="0"/>
        <w:color w:val="231f20"/>
        <w:sz w:val="20"/>
        <w:szCs w:val="20"/>
      </w:rPr>
    </w:lvl>
    <w:lvl w:ilvl="1">
      <w:start w:val="0"/>
      <w:numFmt w:val="bullet"/>
      <w:lvlText w:val="•"/>
      <w:lvlJc w:val="left"/>
      <w:pPr>
        <w:ind w:left="1410" w:hanging="284"/>
      </w:pPr>
      <w:rPr/>
    </w:lvl>
    <w:lvl w:ilvl="2">
      <w:start w:val="0"/>
      <w:numFmt w:val="bullet"/>
      <w:lvlText w:val="•"/>
      <w:lvlJc w:val="left"/>
      <w:pPr>
        <w:ind w:left="2421" w:hanging="284"/>
      </w:pPr>
      <w:rPr/>
    </w:lvl>
    <w:lvl w:ilvl="3">
      <w:start w:val="0"/>
      <w:numFmt w:val="bullet"/>
      <w:lvlText w:val="•"/>
      <w:lvlJc w:val="left"/>
      <w:pPr>
        <w:ind w:left="3431" w:hanging="283.99999999999955"/>
      </w:pPr>
      <w:rPr/>
    </w:lvl>
    <w:lvl w:ilvl="4">
      <w:start w:val="0"/>
      <w:numFmt w:val="bullet"/>
      <w:lvlText w:val="•"/>
      <w:lvlJc w:val="left"/>
      <w:pPr>
        <w:ind w:left="4442" w:hanging="284"/>
      </w:pPr>
      <w:rPr/>
    </w:lvl>
    <w:lvl w:ilvl="5">
      <w:start w:val="0"/>
      <w:numFmt w:val="bullet"/>
      <w:lvlText w:val="•"/>
      <w:lvlJc w:val="left"/>
      <w:pPr>
        <w:ind w:left="5452" w:hanging="283.9999999999991"/>
      </w:pPr>
      <w:rPr/>
    </w:lvl>
    <w:lvl w:ilvl="6">
      <w:start w:val="0"/>
      <w:numFmt w:val="bullet"/>
      <w:lvlText w:val="•"/>
      <w:lvlJc w:val="left"/>
      <w:pPr>
        <w:ind w:left="6463" w:hanging="284"/>
      </w:pPr>
      <w:rPr/>
    </w:lvl>
    <w:lvl w:ilvl="7">
      <w:start w:val="0"/>
      <w:numFmt w:val="bullet"/>
      <w:lvlText w:val="•"/>
      <w:lvlJc w:val="left"/>
      <w:pPr>
        <w:ind w:left="7473" w:hanging="284"/>
      </w:pPr>
      <w:rPr/>
    </w:lvl>
    <w:lvl w:ilvl="8">
      <w:start w:val="0"/>
      <w:numFmt w:val="bullet"/>
      <w:lvlText w:val="•"/>
      <w:lvlJc w:val="left"/>
      <w:pPr>
        <w:ind w:left="8484" w:hanging="284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480" w:hanging="284"/>
      </w:pPr>
      <w:rPr>
        <w:rFonts w:ascii="Bembo" w:cs="Bembo" w:eastAsia="Bembo" w:hAnsi="Bembo"/>
        <w:b w:val="0"/>
        <w:i w:val="0"/>
        <w:color w:val="231f20"/>
        <w:sz w:val="20"/>
        <w:szCs w:val="20"/>
      </w:rPr>
    </w:lvl>
    <w:lvl w:ilvl="1">
      <w:start w:val="1"/>
      <w:numFmt w:val="bullet"/>
      <w:lvlText w:val="●"/>
      <w:lvlJc w:val="left"/>
      <w:pPr>
        <w:ind w:left="839" w:hanging="359.99999999999994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-"/>
      <w:lvlJc w:val="left"/>
      <w:pPr>
        <w:ind w:left="1047" w:hanging="283.9999999999999"/>
      </w:pPr>
      <w:rPr>
        <w:rFonts w:ascii="Bembo" w:cs="Bembo" w:eastAsia="Bembo" w:hAnsi="Bembo"/>
        <w:b w:val="0"/>
        <w:i w:val="0"/>
        <w:color w:val="231f20"/>
        <w:sz w:val="20"/>
        <w:szCs w:val="20"/>
      </w:rPr>
    </w:lvl>
    <w:lvl w:ilvl="3">
      <w:start w:val="0"/>
      <w:numFmt w:val="bullet"/>
      <w:lvlText w:val="•"/>
      <w:lvlJc w:val="left"/>
      <w:pPr>
        <w:ind w:left="2223" w:hanging="284"/>
      </w:pPr>
      <w:rPr/>
    </w:lvl>
    <w:lvl w:ilvl="4">
      <w:start w:val="0"/>
      <w:numFmt w:val="bullet"/>
      <w:lvlText w:val="•"/>
      <w:lvlJc w:val="left"/>
      <w:pPr>
        <w:ind w:left="3406" w:hanging="283.99999999999955"/>
      </w:pPr>
      <w:rPr/>
    </w:lvl>
    <w:lvl w:ilvl="5">
      <w:start w:val="0"/>
      <w:numFmt w:val="bullet"/>
      <w:lvlText w:val="•"/>
      <w:lvlJc w:val="left"/>
      <w:pPr>
        <w:ind w:left="4589" w:hanging="284"/>
      </w:pPr>
      <w:rPr/>
    </w:lvl>
    <w:lvl w:ilvl="6">
      <w:start w:val="0"/>
      <w:numFmt w:val="bullet"/>
      <w:lvlText w:val="•"/>
      <w:lvlJc w:val="left"/>
      <w:pPr>
        <w:ind w:left="5772" w:hanging="283.9999999999991"/>
      </w:pPr>
      <w:rPr/>
    </w:lvl>
    <w:lvl w:ilvl="7">
      <w:start w:val="0"/>
      <w:numFmt w:val="bullet"/>
      <w:lvlText w:val="•"/>
      <w:lvlJc w:val="left"/>
      <w:pPr>
        <w:ind w:left="6955" w:hanging="284"/>
      </w:pPr>
      <w:rPr/>
    </w:lvl>
    <w:lvl w:ilvl="8">
      <w:start w:val="0"/>
      <w:numFmt w:val="bullet"/>
      <w:lvlText w:val="•"/>
      <w:lvlJc w:val="left"/>
      <w:pPr>
        <w:ind w:left="8139" w:hanging="2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embo" w:cs="Bembo" w:eastAsia="Bembo" w:hAnsi="Bembo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Bembo" w:cs="Bembo" w:eastAsia="Bembo" w:hAnsi="Bembo"/>
    </w:rPr>
  </w:style>
  <w:style w:type="paragraph" w:styleId="Titolo1">
    <w:name w:val="heading 1"/>
    <w:basedOn w:val="Normale"/>
    <w:uiPriority w:val="9"/>
    <w:qFormat w:val="1"/>
    <w:pPr>
      <w:ind w:left="140"/>
      <w:outlineLvl w:val="0"/>
    </w:pPr>
    <w:rPr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  <w:pPr>
      <w:spacing w:before="13"/>
      <w:ind w:left="393" w:hanging="284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pubblica.it/salute/2010/11/23/news/terza_et_la_realt_italiana_vista_dal_censis-9409097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repubblica.it/salute/interattivi/2010/11/23/news/anziani_pi_in_salute_ma_pi_soli-940853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l+nSmqeEnFUoKn7SY2nEFhDv0A==">AMUW2mW9LWcwacojdoHrJ4IRVUNef+Hf6gxFYXlXUY/uD8ukutwe0KRZxHR6ZO1BcFrNCpukVBVt3V4Ux9+8yVHVrAah8O+SV5Bj7sFb9DCeB5um4Yw9FOM=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2011-09-15T00:00:00Z</vt:filetime>
  </property>
  <property fmtid="{D5CDD505-2E9C-101B-9397-08002B2CF9AE}" pid="3" name="Creator">
    <vt:lpwstr>QuarkXPress(R) 8.01</vt:lpwstr>
  </property>
  <property fmtid="{D5CDD505-2E9C-101B-9397-08002B2CF9AE}" pid="4" name="LastSaved">
    <vt:filetime>2023-01-16T00:00:00Z</vt:filetime>
  </property>
</Properties>
</file>